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xmqxs6h9n53q" w:id="0"/>
      <w:bookmarkEnd w:id="0"/>
      <w:r w:rsidDel="00000000" w:rsidR="00000000" w:rsidRPr="00000000">
        <w:rPr>
          <w:rtl w:val="0"/>
        </w:rPr>
        <w:t xml:space="preserve">Редполитика WinWork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Актуальна на 2025 год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Автор: Ася Котикова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В редактуре текстов для WinWork руководствоваться закрепленными ниже правилами, но не забывать опираться на вкус и здравый смысл.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6lnhcr92efu2" w:id="1"/>
      <w:bookmarkEnd w:id="1"/>
      <w:r w:rsidDel="00000000" w:rsidR="00000000" w:rsidRPr="00000000">
        <w:rPr>
          <w:rtl w:val="0"/>
        </w:rPr>
        <w:t xml:space="preserve">О редполитике</w:t>
      </w:r>
    </w:p>
    <w:p w:rsidR="00000000" w:rsidDel="00000000" w:rsidP="00000000" w:rsidRDefault="00000000" w:rsidRPr="00000000" w14:paraId="00000007">
      <w:pPr>
        <w:pStyle w:val="Heading2"/>
        <w:spacing w:after="200" w:before="0" w:lineRule="auto"/>
        <w:rPr>
          <w:b w:val="1"/>
        </w:rPr>
      </w:pPr>
      <w:bookmarkStart w:colFirst="0" w:colLast="0" w:name="_qxbkkb328gu8" w:id="2"/>
      <w:bookmarkEnd w:id="2"/>
      <w:r w:rsidDel="00000000" w:rsidR="00000000" w:rsidRPr="00000000">
        <w:rPr>
          <w:b w:val="1"/>
          <w:rtl w:val="0"/>
        </w:rPr>
        <w:t xml:space="preserve">Где применяется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Обязательно — там, где текст может прочитать конечный пользователь продукта: в статьях, постах в соцсетях, рассылках, на сайте, в SMS и </w:t>
      </w:r>
      <w:r w:rsidDel="00000000" w:rsidR="00000000" w:rsidRPr="00000000">
        <w:rPr>
          <w:rtl w:val="0"/>
        </w:rPr>
        <w:t xml:space="preserve">мобильном приложении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tl w:val="0"/>
        </w:rPr>
        <w:t xml:space="preserve">Желательно — в письмах для партнеров, клиентов и сотрудников.</w:t>
      </w:r>
    </w:p>
    <w:p w:rsidR="00000000" w:rsidDel="00000000" w:rsidP="00000000" w:rsidRDefault="00000000" w:rsidRPr="00000000" w14:paraId="0000000A">
      <w:pPr>
        <w:pStyle w:val="Heading2"/>
        <w:spacing w:after="200" w:before="0" w:lineRule="auto"/>
        <w:rPr>
          <w:b w:val="1"/>
        </w:rPr>
      </w:pPr>
      <w:bookmarkStart w:colFirst="0" w:colLast="0" w:name="_wndp4wbr743x" w:id="3"/>
      <w:bookmarkEnd w:id="3"/>
      <w:r w:rsidDel="00000000" w:rsidR="00000000" w:rsidRPr="00000000">
        <w:rPr>
          <w:b w:val="1"/>
          <w:rtl w:val="0"/>
        </w:rPr>
        <w:t xml:space="preserve">Для чего нужна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У бренда есть свой голос. Вне зависимости от того, кто пишет, ToV и правила, обозначенные в редполитике, сохраняются. С пользователем разговаривает бренд, а не конкретный автор.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tl w:val="0"/>
        </w:rPr>
        <w:t xml:space="preserve">По качеству текста, по внимательному отношению к словам и символам пользователи и конечные потребители делают вывод о продуктах компании.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ui9409u77uyg" w:id="4"/>
      <w:bookmarkEnd w:id="4"/>
      <w:r w:rsidDel="00000000" w:rsidR="00000000" w:rsidRPr="00000000">
        <w:rPr>
          <w:rtl w:val="0"/>
        </w:rPr>
        <w:t xml:space="preserve">Принципы и 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oov1nb3i40k2" w:id="5"/>
      <w:bookmarkEnd w:id="5"/>
      <w:r w:rsidDel="00000000" w:rsidR="00000000" w:rsidRPr="00000000">
        <w:rPr>
          <w:b w:val="1"/>
          <w:rtl w:val="0"/>
        </w:rPr>
        <w:t xml:space="preserve">На равных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наших читателей и пользователей платформы мы партнеры. Мы помогаем бизнесу, а не обслуживаем его. Исполнителям мы также помогаем, а не делаем одолжение. Поэтому общаемся без преклонения, но и без фамильярности. Пишем без заискивания и панибратства, на равных. Обращаемся к пользователям уважительно, на «вы» (со строчной буквы).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59usi4t0wnrq" w:id="6"/>
      <w:bookmarkEnd w:id="6"/>
      <w:r w:rsidDel="00000000" w:rsidR="00000000" w:rsidRPr="00000000">
        <w:rPr>
          <w:b w:val="1"/>
          <w:rtl w:val="0"/>
        </w:rPr>
        <w:t xml:space="preserve">На языке фактов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Экспертность и фактчекинг — основа любой статьи, поста, ответа на комментарий. Мы эксперты в теме сотрудничества бизнеса и внештатного персонала, понимаем свою ответственность за наши бизнес-советы, поэтому отвечаем за свои слова. Перед публикацией текста проверять все, что нуждается в проверке (законодательные акты, цифры, факты).</w:t>
      </w:r>
      <w:r w:rsidDel="00000000" w:rsidR="00000000" w:rsidRPr="00000000">
        <w:rPr>
          <w:rtl w:val="0"/>
        </w:rPr>
        <w:t xml:space="preserve"> Уточнять в авторитетных источниках (а лучше в первоисточнике) или у коллег, компетентных в конкретном вопросе (юристов, продуктоунеров и пр.).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b w:val="1"/>
        </w:rPr>
      </w:pPr>
      <w:bookmarkStart w:colFirst="0" w:colLast="0" w:name="_1lmn7rav0vor" w:id="7"/>
      <w:bookmarkEnd w:id="7"/>
      <w:r w:rsidDel="00000000" w:rsidR="00000000" w:rsidRPr="00000000">
        <w:rPr>
          <w:b w:val="1"/>
          <w:rtl w:val="0"/>
        </w:rPr>
        <w:t xml:space="preserve">Для людей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Пишем просто и доступным языком, в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инфостиле. Без штампов, канцеляризмов, лишних вводных конструкций. Не перегружаем речь, не усложняем синтаксис.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rtl w:val="0"/>
        </w:rPr>
        <w:t xml:space="preserve">Ни для кого не секрет, что чем труднее читателю будет продираться сквозь чащу деепричастных оборотов и нагромождений существительных, тем больше вероятность, что он закроет текст задолго до того, как дойдет до конца.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b w:val="1"/>
        </w:rPr>
      </w:pPr>
      <w:bookmarkStart w:colFirst="0" w:colLast="0" w:name="_5cwjumj6yc6u" w:id="8"/>
      <w:bookmarkEnd w:id="8"/>
      <w:r w:rsidDel="00000000" w:rsidR="00000000" w:rsidRPr="00000000">
        <w:rPr>
          <w:b w:val="1"/>
          <w:rtl w:val="0"/>
        </w:rPr>
        <w:t xml:space="preserve">Полезность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Каждая коммуникация должна иметь цель. Перед тем как писать статью и любой другой текст, надо задать себе вопрос: что я хочу сказать/какую мысль донести до читателя? Наш продукт помогает бизнесу и исполнителям сэкономить время. Тем более мы не тратим его на бесцельную коммуникацию: контент ради контента не нужен.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93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1k6wexgr3r2u" w:id="9"/>
      <w:bookmarkEnd w:id="9"/>
      <w:r w:rsidDel="00000000" w:rsidR="00000000" w:rsidRPr="00000000">
        <w:rPr>
          <w:rtl w:val="0"/>
        </w:rPr>
        <w:t xml:space="preserve">Особенности отдельных форматов</w:t>
      </w:r>
    </w:p>
    <w:p w:rsidR="00000000" w:rsidDel="00000000" w:rsidP="00000000" w:rsidRDefault="00000000" w:rsidRPr="00000000" w14:paraId="0000001C">
      <w:pPr>
        <w:pStyle w:val="Heading2"/>
        <w:rPr>
          <w:b w:val="1"/>
        </w:rPr>
      </w:pPr>
      <w:bookmarkStart w:colFirst="0" w:colLast="0" w:name="_mk0p471kj6a8" w:id="10"/>
      <w:bookmarkEnd w:id="10"/>
      <w:r w:rsidDel="00000000" w:rsidR="00000000" w:rsidRPr="00000000">
        <w:rPr>
          <w:b w:val="1"/>
          <w:rtl w:val="0"/>
        </w:rPr>
        <w:t xml:space="preserve">Соцсети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соцсетях допускается более свободная тональность: можно использовать смайлики и эмодзи, допустим юмор. Но обращаемся к читателям также на «вы».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8l2zf9z2ou1q" w:id="11"/>
      <w:bookmarkEnd w:id="11"/>
      <w:r w:rsidDel="00000000" w:rsidR="00000000" w:rsidRPr="00000000">
        <w:rPr>
          <w:b w:val="1"/>
          <w:rtl w:val="0"/>
        </w:rPr>
        <w:t xml:space="preserve">Комментарии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Вежливо и с желанием решить проблему пользователя. Н</w:t>
      </w:r>
      <w:r w:rsidDel="00000000" w:rsidR="00000000" w:rsidRPr="00000000">
        <w:rPr>
          <w:rtl w:val="0"/>
        </w:rPr>
        <w:t xml:space="preserve">е реагировать на провокации и не провоцировать самим.</w:t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pddhvuxzvh2e" w:id="12"/>
      <w:bookmarkEnd w:id="12"/>
      <w:r w:rsidDel="00000000" w:rsidR="00000000" w:rsidRPr="00000000">
        <w:rPr>
          <w:rtl w:val="0"/>
        </w:rPr>
        <w:t xml:space="preserve">Уровень смыслов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ajoebq7s9dd9" w:id="13"/>
      <w:bookmarkEnd w:id="13"/>
      <w:r w:rsidDel="00000000" w:rsidR="00000000" w:rsidRPr="00000000">
        <w:rPr>
          <w:rtl w:val="0"/>
        </w:rPr>
        <w:t xml:space="preserve">Про мысль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Любой текст должен передавать одну главную мысль, одну идею, решать одну проблему. Мы не ограничены в количестве текстов, не надо скупиться и жадничать: хочется сказать много — делим текст на статьи, посты, рассылки. Не надо пытаться написать курсовую или дипломную в одном материале. Не надо грузить читателя.</w:t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d9xzmk31994b" w:id="14"/>
      <w:bookmarkEnd w:id="14"/>
      <w:r w:rsidDel="00000000" w:rsidR="00000000" w:rsidRPr="00000000">
        <w:rPr>
          <w:rtl w:val="0"/>
        </w:rPr>
        <w:t xml:space="preserve">Про структуру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Любой текстовый формат должен быть структурным.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Например, структура статьи: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Заголовок — название статьи. Не более 2 строчек. Из названия читатель понимает, интересен ли ему материал и делает выбор: читать или нет. Уже из заголовка должно быть понятно, о чем статья. Мы не обманываем ожидания. Если название статьи «Что изменится в работе с самозанятыми с марта 2024 года», то пишем о приказе Минтруда России, а не о том, как получить статус самозанятого.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Лид — краткое описание, о чем статья. До 350 символов. Это синопсис статьи. В лиде может быть (должна быть) интрига. От того, насколько интересен будет лид, зависит, продолжит ли пользователь чтение или закроет страницу.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Введение. Отличается от лида, вкратце описываем проблему. Это зачин текста. Описываем «боль» нашей ЦА. Во введении обозначаем главную мысль текста. Внутренняя работа: главная мысль — всегда одно простое предложение, которое вы должны хотя бы у себя в голове сформулировать кратко. Если не получается его сформулировать, значит текст будет дефектным. Если предложения два — текст тоже будет дефектным.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Решение проблемы: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4.1. Констатирующие тезисы (1, 2, 3…). То, что мы рассказываем в статье или какие факты объясняем.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4.2. Развивающие тезисы — развивают (как понятно из названия) констатирующие и напрямую от них зависят. Чаще всего, это пояснения. Могут быть у каждого констатирующего тезиса, а могут быть лишь у некоторых.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Вывод. Аналитическая часть текста. Должна быть у любого материала. Мы не оставляем читателя с вопросом «А что это было?». Вывод напрямую связан с главной мыслью: вы искали решение проблемы — мы его нашли. Всегда связан с нашим продуктом.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nvjs1nbr1cqw" w:id="15"/>
      <w:bookmarkEnd w:id="15"/>
      <w:r w:rsidDel="00000000" w:rsidR="00000000" w:rsidRPr="00000000">
        <w:rPr>
          <w:rtl w:val="0"/>
        </w:rPr>
        <w:t xml:space="preserve">Про общеизвестные факты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Мы придерживаемся презумпции профессионализма. Нам не надо объяснять бухгалтеру, что отчетность требуется сдавать, а исполнителям рассказывать, что дополнительный доход — это хорошо. Не надо увеличивать количество текста общеизвестными фактами.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Еще хуже смущать читателя фразами «все должны знать»/«всем должно быть известно». По какой-то причине он может не знать или забыть тот или иной факт.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Если хочется написать «всем известно», «каждый знает», «ни для кого не секрет», задайте себе вопрос: а стоит ли тогда озвучивать мысль — ее и так все знают. А если не знают, то и фразы такие употреблять не надо.</w:t>
      </w:r>
    </w:p>
    <w:p w:rsidR="00000000" w:rsidDel="00000000" w:rsidP="00000000" w:rsidRDefault="00000000" w:rsidRPr="00000000" w14:paraId="00000037">
      <w:pPr>
        <w:pStyle w:val="Heading2"/>
        <w:rPr/>
      </w:pPr>
      <w:bookmarkStart w:colFirst="0" w:colLast="0" w:name="_tn351jxbnsnl" w:id="16"/>
      <w:bookmarkEnd w:id="16"/>
      <w:r w:rsidDel="00000000" w:rsidR="00000000" w:rsidRPr="00000000">
        <w:rPr>
          <w:rtl w:val="0"/>
        </w:rPr>
        <w:t xml:space="preserve">Про повелительное наклонение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Мы советуем, а не указываем. Поэтому избегаем повелительных глаголов: «прочитайте нашу рекомендацию и точно не угодите под суд» или «срочно проверьте договоры с подрядчиками, наверняка там ошибки». Читателю не понравится, что его оторвали от дел и раздают команды.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Мы формулируем свои мысли так, чтобы без подсказок было понятно, что надо читать статью: «Подготовили чек-лист по работе с самозанятыми. При соблюдении простых правил налоговые риски вашей компании снизятся в N раз».</w:t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dm2bwkaadsx3" w:id="17"/>
      <w:bookmarkEnd w:id="17"/>
      <w:r w:rsidDel="00000000" w:rsidR="00000000" w:rsidRPr="00000000">
        <w:rPr>
          <w:rtl w:val="0"/>
        </w:rPr>
        <w:t xml:space="preserve">Про повторы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Используем разные приемы и полезные материалы.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Не эксплуатируем один прием из месяца в месяц. Меняем форматы подачи, лид-магниты, темы вебинаров.</w:t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kw3i0vytczl1" w:id="18"/>
      <w:bookmarkEnd w:id="18"/>
      <w:r w:rsidDel="00000000" w:rsidR="00000000" w:rsidRPr="00000000">
        <w:rPr>
          <w:rtl w:val="0"/>
        </w:rPr>
        <w:t xml:space="preserve">Уровень предложений</w:t>
      </w:r>
    </w:p>
    <w:p w:rsidR="00000000" w:rsidDel="00000000" w:rsidP="00000000" w:rsidRDefault="00000000" w:rsidRPr="00000000" w14:paraId="00000040">
      <w:pPr>
        <w:pStyle w:val="Heading2"/>
        <w:rPr>
          <w:b w:val="1"/>
        </w:rPr>
      </w:pPr>
      <w:bookmarkStart w:colFirst="0" w:colLast="0" w:name="_gg4flpmnh4r5" w:id="19"/>
      <w:bookmarkEnd w:id="19"/>
      <w:r w:rsidDel="00000000" w:rsidR="00000000" w:rsidRPr="00000000">
        <w:rPr>
          <w:b w:val="1"/>
          <w:rtl w:val="0"/>
        </w:rPr>
        <w:t xml:space="preserve">Абзацы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Для удобства восприятия разделяем текст на абзацы. Новая мысль — новый абзац. Мы не пишем текст сплошняком, чтобы читателю не приходилось выискивать информацию в «простыне» слов.</w:t>
      </w:r>
    </w:p>
    <w:p w:rsidR="00000000" w:rsidDel="00000000" w:rsidP="00000000" w:rsidRDefault="00000000" w:rsidRPr="00000000" w14:paraId="00000043">
      <w:pPr>
        <w:pStyle w:val="Heading2"/>
        <w:rPr>
          <w:b w:val="1"/>
        </w:rPr>
      </w:pPr>
      <w:bookmarkStart w:colFirst="0" w:colLast="0" w:name="_xjhel6z43m54" w:id="20"/>
      <w:bookmarkEnd w:id="20"/>
      <w:r w:rsidDel="00000000" w:rsidR="00000000" w:rsidRPr="00000000">
        <w:rPr>
          <w:b w:val="1"/>
          <w:rtl w:val="0"/>
        </w:rPr>
        <w:t xml:space="preserve">Нагромождение существительных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Не допускаем нагромождений существительных. Даже два существительных подряд воспринимаются тяжело, тем более если их четыре или пять.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ситуация была неразрешимой/ситуацию нельзя было разрешить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отсутствие возможности разрешения ситуации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>
          <w:b w:val="1"/>
        </w:rPr>
      </w:pPr>
      <w:bookmarkStart w:colFirst="0" w:colLast="0" w:name="_fwbn6hv8dbut" w:id="21"/>
      <w:bookmarkEnd w:id="21"/>
      <w:r w:rsidDel="00000000" w:rsidR="00000000" w:rsidRPr="00000000">
        <w:rPr>
          <w:b w:val="1"/>
          <w:rtl w:val="0"/>
        </w:rPr>
        <w:t xml:space="preserve">Глаголы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Всегда предпочитаем глаголы отглагольным существительным и пассивным конструкциям. Глагол дает тексту динамику, пассивная конструкция — усложняет и нагружает текст, делает его мертвым.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Самозанятый прислал чек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Чек был прислан самозанятым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Минтруд издал приказ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Приказ был издан Минтрудом.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>
          <w:b w:val="1"/>
        </w:rPr>
      </w:pPr>
      <w:bookmarkStart w:colFirst="0" w:colLast="0" w:name="_yyspfrl91i9r" w:id="22"/>
      <w:bookmarkEnd w:id="22"/>
      <w:r w:rsidDel="00000000" w:rsidR="00000000" w:rsidRPr="00000000">
        <w:rPr>
          <w:b w:val="1"/>
          <w:rtl w:val="0"/>
        </w:rPr>
        <w:t xml:space="preserve">Наречия и спецификаторы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Слова, которые «конкретизируют» мысли, чувства, эмоции, нагружают и ослабляют текст, лишают его убедительности.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такие слова как: очень, весьма, немного, вроде, слегка, слишком и пр.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Мы объективны и оперируем фактами, а оценку даст читатель.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 обрадовался высоким ценам заказов в приложении WinWork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 весьма обрадовался довольно высоким ценам в очень новом приложении WinWork</w:t>
            </w:r>
          </w:p>
        </w:tc>
      </w:tr>
    </w:tbl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>
          <w:b w:val="1"/>
        </w:rPr>
      </w:pPr>
      <w:bookmarkStart w:colFirst="0" w:colLast="0" w:name="_qn27zxt7nz7" w:id="23"/>
      <w:bookmarkEnd w:id="23"/>
      <w:r w:rsidDel="00000000" w:rsidR="00000000" w:rsidRPr="00000000">
        <w:rPr>
          <w:b w:val="1"/>
          <w:rtl w:val="0"/>
        </w:rPr>
        <w:t xml:space="preserve">Прилагательные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  <w:t xml:space="preserve">Большинство эпитетов также не нужны в тексте. Особенно если они дублируют существительное. Прилагательное, которое вставлено в текст ради украшательства, обременяет читателя.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>
          <w:b w:val="1"/>
        </w:rPr>
      </w:pPr>
      <w:bookmarkStart w:colFirst="0" w:colLast="0" w:name="_dwmos5ttdh2j" w:id="24"/>
      <w:bookmarkEnd w:id="24"/>
      <w:r w:rsidDel="00000000" w:rsidR="00000000" w:rsidRPr="00000000">
        <w:rPr>
          <w:b w:val="1"/>
          <w:rtl w:val="0"/>
        </w:rPr>
        <w:t xml:space="preserve">Слова, оповещающие о перемене авторской позиции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Мы сразу предупреждаем читателя о перемене логической позиции. И используем такие слова как «но», «однако», «таким образом», «тем не менее», «следовательно» и пр. Мы с трепетом и благодарностью относимся ко времени читателя, поэтому сообщаем ему сразу о перестройке фразы, а не заставляем дочитывать предложение до конца, чтобы понять суть.</w:t>
      </w:r>
    </w:p>
    <w:p w:rsidR="00000000" w:rsidDel="00000000" w:rsidP="00000000" w:rsidRDefault="00000000" w:rsidRPr="00000000" w14:paraId="00000064">
      <w:pPr>
        <w:pStyle w:val="Heading2"/>
        <w:rPr/>
      </w:pPr>
      <w:bookmarkStart w:colFirst="0" w:colLast="0" w:name="_lqxs4zk8cjeo" w:id="25"/>
      <w:bookmarkEnd w:id="25"/>
      <w:r w:rsidDel="00000000" w:rsidR="00000000" w:rsidRPr="00000000">
        <w:rPr>
          <w:b w:val="1"/>
          <w:rtl w:val="0"/>
        </w:rPr>
        <w:t xml:space="preserve">Гиперболизация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Не используем преувеличение. Особенно для запугивания читателя. Никаких «вас обязательно посадят, если вы не используете это в своей работе». Оставим это для дешевых баннеров на сомнительных сайтах.</w:t>
      </w:r>
    </w:p>
    <w:p w:rsidR="00000000" w:rsidDel="00000000" w:rsidP="00000000" w:rsidRDefault="00000000" w:rsidRPr="00000000" w14:paraId="00000066">
      <w:pPr>
        <w:pStyle w:val="Heading1"/>
        <w:rPr/>
      </w:pPr>
      <w:bookmarkStart w:colFirst="0" w:colLast="0" w:name="_gmmmtmbr63v8" w:id="26"/>
      <w:bookmarkEnd w:id="26"/>
      <w:r w:rsidDel="00000000" w:rsidR="00000000" w:rsidRPr="00000000">
        <w:rPr>
          <w:rtl w:val="0"/>
        </w:rPr>
        <w:t xml:space="preserve">Уровень слов</w:t>
      </w:r>
    </w:p>
    <w:p w:rsidR="00000000" w:rsidDel="00000000" w:rsidP="00000000" w:rsidRDefault="00000000" w:rsidRPr="00000000" w14:paraId="00000067">
      <w:pPr>
        <w:pStyle w:val="Heading2"/>
        <w:rPr>
          <w:b w:val="1"/>
        </w:rPr>
      </w:pPr>
      <w:bookmarkStart w:colFirst="0" w:colLast="0" w:name="_nrcwb6ouvfdu" w:id="27"/>
      <w:bookmarkEnd w:id="27"/>
      <w:r w:rsidDel="00000000" w:rsidR="00000000" w:rsidRPr="00000000">
        <w:rPr>
          <w:b w:val="1"/>
          <w:rtl w:val="0"/>
        </w:rPr>
        <w:t xml:space="preserve">Про кириллицу и иностранные слова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Не нагружаем текст англицизмами и иностранными словами. Любую статью должен понимать и специалист из IT, и специалист, которому не нужно владеть английским. Не заставляем читателей лезть в словарь или Google.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Названия компаний пишем так, как они указаны. Не занимаемся транскрибацией. Названия на русском языке пишем в кавычках-елочках, английские — без.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ВинВорк,</w:t>
            </w:r>
            <w:r w:rsidDel="00000000" w:rsidR="00000000" w:rsidRPr="00000000">
              <w:rPr>
                <w:rtl w:val="0"/>
              </w:rPr>
              <w:t xml:space="preserve"> «WinWork»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«Мои самозанятые»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Мои самозанятые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rPr>
          <w:b w:val="1"/>
        </w:rPr>
      </w:pPr>
      <w:bookmarkStart w:colFirst="0" w:colLast="0" w:name="_1s5xgvqza0rb" w:id="28"/>
      <w:bookmarkEnd w:id="28"/>
      <w:r w:rsidDel="00000000" w:rsidR="00000000" w:rsidRPr="00000000">
        <w:rPr>
          <w:b w:val="1"/>
          <w:rtl w:val="0"/>
        </w:rPr>
        <w:t xml:space="preserve">Про названия госорганов и реквизиты документов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Наименования государственных и региональных органов пишем одинаково. </w:t>
      </w:r>
      <w:r w:rsidDel="00000000" w:rsidR="00000000" w:rsidRPr="00000000">
        <w:rPr>
          <w:rtl w:val="0"/>
        </w:rPr>
        <w:t xml:space="preserve">Реквизиты НПА — унифицировано. Разношерстное написание не влияет на смысл, но добавляет визуальный мусор и выглядит неряшливо. 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Органы исполнительной власти пишем с указанием, федеральный орган или региональный.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Правительство России/Правительство Владимирской области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Правительство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Минэкономразвития России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Минэкономразвития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Министерство не равно ведомство, не использовать их как синонимы. Ведомства — это службы и агентства.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ФНС России — ведомство, Минтруд России — министерство.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Другие госорганы и должностные лица: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Госдума, Банк России (можно: регулятор, мегарегулятор), Президент России.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Реквизиты НПА: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Вид НПА + дата полностью + номер + название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Федеральный закон от 27 ноября 2018 г. № 422-ФЗ "О проведении эксперимента по установлению специального налогового режима "Налог на профессиональный доход"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Судебные решения:</w:t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Вид решения + суд, принявший решение + дата полностью + номер дела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rPr>
          <w:b w:val="1"/>
        </w:rPr>
      </w:pPr>
      <w:bookmarkStart w:colFirst="0" w:colLast="0" w:name="_ex76xzahbium" w:id="29"/>
      <w:bookmarkEnd w:id="29"/>
      <w:r w:rsidDel="00000000" w:rsidR="00000000" w:rsidRPr="00000000">
        <w:rPr>
          <w:b w:val="1"/>
          <w:rtl w:val="0"/>
        </w:rPr>
        <w:t xml:space="preserve">Про аббревиатуры и акронимы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Распространенные аббревиатуры не расшифровываем: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ООО, АО, ИНН, ФНС, СМИ, РФ, СНГ, ТК РФ, ГК РФ и пр.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Если аббревиатура не широкого употребления или есть сомнения в том, что читатели знают ее: в первый раз даем расшифровку и в скобках указываем аббревиатуру. Далее по тексту используем аббревиатуру.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i w:val="1"/>
          <w:rtl w:val="0"/>
        </w:rPr>
        <w:t xml:space="preserve">Международная организация труда (МОТ).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rPr>
          <w:b w:val="1"/>
        </w:rPr>
      </w:pPr>
      <w:bookmarkStart w:colFirst="0" w:colLast="0" w:name="_sn0dx59ueycg" w:id="30"/>
      <w:bookmarkEnd w:id="30"/>
      <w:r w:rsidDel="00000000" w:rsidR="00000000" w:rsidRPr="00000000">
        <w:rPr>
          <w:b w:val="1"/>
          <w:rtl w:val="0"/>
        </w:rPr>
        <w:t xml:space="preserve">Про числа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Количественные числительные</w:t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Все цифры пишем прописью: один, два, три, четыре, пять, шесть, семь, восемь, девять.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Числа начиная с 10 пишем знаками: 10, 11, 12, 50, 100 и т.д.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 тысячи до миллиона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Допускается писать тысячи числовыми значениями, с пробелом в числах с разрядностью выше четырех: 5 000, 12 000, 100 000 и пр.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Числительные от миллиона пишем словами.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Для единообразия: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тысячи – тыс. (с точкой)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миллионы – млн (без точки)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миллиарды – млрд (без точки)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млн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6 000 000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млрд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7 000 000 000</w:t>
            </w:r>
          </w:p>
        </w:tc>
      </w:tr>
    </w:tbl>
    <w:p w:rsidR="00000000" w:rsidDel="00000000" w:rsidP="00000000" w:rsidRDefault="00000000" w:rsidRPr="00000000" w14:paraId="000000B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Рубли и другую валюту пишем полностью.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млн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млн.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тыс.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тыс рубл.</w:t>
            </w:r>
          </w:p>
        </w:tc>
      </w:tr>
    </w:tbl>
    <w:p w:rsidR="00000000" w:rsidDel="00000000" w:rsidP="00000000" w:rsidRDefault="00000000" w:rsidRPr="00000000" w14:paraId="000000B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Дроби</w:t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По общему правилу округляем до целых. Если важна точность —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допускается округление до десятых.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2"/>
        <w:rPr>
          <w:b w:val="1"/>
        </w:rPr>
      </w:pPr>
      <w:bookmarkStart w:colFirst="0" w:colLast="0" w:name="_tmotaocy2ark" w:id="31"/>
      <w:bookmarkEnd w:id="31"/>
      <w:r w:rsidDel="00000000" w:rsidR="00000000" w:rsidRPr="00000000">
        <w:rPr>
          <w:b w:val="1"/>
          <w:rtl w:val="0"/>
        </w:rPr>
        <w:t xml:space="preserve">Стоп-слова</w:t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  <w:t xml:space="preserve">«ДоговорА». Трудовые, гражданско-правовые и какие угодно другие. Форма именительного падежа множественного числа слова «договор» —</w:t>
      </w:r>
      <w:r w:rsidDel="00000000" w:rsidR="00000000" w:rsidRPr="00000000">
        <w:rPr>
          <w:b w:val="1"/>
          <w:rtl w:val="0"/>
        </w:rPr>
        <w:t xml:space="preserve"> «договоры».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«Внештатники». Используем литературные синонимы: </w:t>
      </w:r>
      <w:r w:rsidDel="00000000" w:rsidR="00000000" w:rsidRPr="00000000">
        <w:rPr>
          <w:b w:val="1"/>
          <w:rtl w:val="0"/>
        </w:rPr>
        <w:t xml:space="preserve">внештатный персонал, исполнители и пр. </w:t>
      </w:r>
      <w:r w:rsidDel="00000000" w:rsidR="00000000" w:rsidRPr="00000000">
        <w:rPr>
          <w:u w:val="single"/>
          <w:rtl w:val="0"/>
        </w:rPr>
        <w:t xml:space="preserve">Допускается</w:t>
      </w:r>
      <w:r w:rsidDel="00000000" w:rsidR="00000000" w:rsidRPr="00000000">
        <w:rPr>
          <w:rtl w:val="0"/>
        </w:rPr>
        <w:t xml:space="preserve"> использовать слово «внештатники» в баннерах и рекламных сообщениях с ограниченным числом символов.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«Ритейл». Пишем </w:t>
      </w:r>
      <w:r w:rsidDel="00000000" w:rsidR="00000000" w:rsidRPr="00000000">
        <w:rPr>
          <w:b w:val="1"/>
          <w:rtl w:val="0"/>
        </w:rPr>
        <w:t xml:space="preserve">«ретейл»</w:t>
      </w:r>
      <w:r w:rsidDel="00000000" w:rsidR="00000000" w:rsidRPr="00000000">
        <w:rPr>
          <w:rtl w:val="0"/>
        </w:rPr>
        <w:t xml:space="preserve">, как это слово записано в русском орфографическом словаре Лопатиной В.В.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трудовые договоры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трудовые договора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внештатный персонал, исполнители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внештатники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ретейл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ритейл</w:t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Не используем жаргонизмы и разговорные слова.</w:t>
      </w:r>
    </w:p>
    <w:p w:rsidR="00000000" w:rsidDel="00000000" w:rsidP="00000000" w:rsidRDefault="00000000" w:rsidRPr="00000000" w14:paraId="000000D1">
      <w:pPr>
        <w:pStyle w:val="Heading1"/>
        <w:rPr/>
      </w:pPr>
      <w:bookmarkStart w:colFirst="0" w:colLast="0" w:name="_ad76rcwqgizt" w:id="32"/>
      <w:bookmarkEnd w:id="32"/>
      <w:r w:rsidDel="00000000" w:rsidR="00000000" w:rsidRPr="00000000">
        <w:rPr>
          <w:rtl w:val="0"/>
        </w:rPr>
        <w:t xml:space="preserve">Уровень букв</w:t>
      </w:r>
    </w:p>
    <w:p w:rsidR="00000000" w:rsidDel="00000000" w:rsidP="00000000" w:rsidRDefault="00000000" w:rsidRPr="00000000" w14:paraId="000000D2">
      <w:pPr>
        <w:pStyle w:val="Heading2"/>
        <w:rPr/>
      </w:pPr>
      <w:bookmarkStart w:colFirst="0" w:colLast="0" w:name="_wkz6ffnto953" w:id="33"/>
      <w:bookmarkEnd w:id="33"/>
      <w:r w:rsidDel="00000000" w:rsidR="00000000" w:rsidRPr="00000000">
        <w:rPr>
          <w:rtl w:val="0"/>
        </w:rPr>
        <w:t xml:space="preserve">Е/Ё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По общему правило пишем Е. Ё используем только в тех случаях, когда можно прочитать двояко: передохнем/передохнём.</w:t>
      </w:r>
    </w:p>
    <w:p w:rsidR="00000000" w:rsidDel="00000000" w:rsidP="00000000" w:rsidRDefault="00000000" w:rsidRPr="00000000" w14:paraId="000000D4">
      <w:pPr>
        <w:pStyle w:val="Heading1"/>
        <w:rPr/>
      </w:pPr>
      <w:bookmarkStart w:colFirst="0" w:colLast="0" w:name="_uzaf0eplltfa" w:id="34"/>
      <w:bookmarkEnd w:id="34"/>
      <w:r w:rsidDel="00000000" w:rsidR="00000000" w:rsidRPr="00000000">
        <w:rPr>
          <w:rtl w:val="0"/>
        </w:rPr>
        <w:t xml:space="preserve">Уровень знаков</w:t>
      </w:r>
    </w:p>
    <w:p w:rsidR="00000000" w:rsidDel="00000000" w:rsidP="00000000" w:rsidRDefault="00000000" w:rsidRPr="00000000" w14:paraId="000000D5">
      <w:pPr>
        <w:pStyle w:val="Heading2"/>
        <w:rPr/>
      </w:pPr>
      <w:bookmarkStart w:colFirst="0" w:colLast="0" w:name="_g9dom4pplaxc" w:id="35"/>
      <w:bookmarkEnd w:id="35"/>
      <w:r w:rsidDel="00000000" w:rsidR="00000000" w:rsidRPr="00000000">
        <w:rPr>
          <w:rtl w:val="0"/>
        </w:rPr>
        <w:t xml:space="preserve">Многоточие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Не используем многоточие. Мы даем советы, помогаем бизнесу, а не интригуем.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rPr/>
      </w:pPr>
      <w:bookmarkStart w:colFirst="0" w:colLast="0" w:name="_jlilfk89fval" w:id="36"/>
      <w:bookmarkEnd w:id="36"/>
      <w:r w:rsidDel="00000000" w:rsidR="00000000" w:rsidRPr="00000000">
        <w:rPr>
          <w:rtl w:val="0"/>
        </w:rPr>
        <w:t xml:space="preserve">Точка с запятой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b w:val="1"/>
          <w:rtl w:val="0"/>
        </w:rPr>
        <w:t xml:space="preserve">Обязательно использовать</w:t>
      </w:r>
      <w:r w:rsidDel="00000000" w:rsidR="00000000" w:rsidRPr="00000000">
        <w:rPr>
          <w:rtl w:val="0"/>
        </w:rPr>
        <w:t xml:space="preserve"> в маркированном списке после каждого буллита в статьях и в личных письмах. Допускается </w:t>
      </w:r>
      <w:r w:rsidDel="00000000" w:rsidR="00000000" w:rsidRPr="00000000">
        <w:rPr>
          <w:b w:val="1"/>
          <w:rtl w:val="0"/>
        </w:rPr>
        <w:t xml:space="preserve">не использовать</w:t>
      </w:r>
      <w:r w:rsidDel="00000000" w:rsidR="00000000" w:rsidRPr="00000000">
        <w:rPr>
          <w:rtl w:val="0"/>
        </w:rPr>
        <w:t xml:space="preserve"> в маркированных списках в рассылке и на лендинге, — если автор рассылки или лендинга считает, что точка с запятой портит верстку и добавляет визуальный мусор. Все буллиты при этом пишутся со строчной буквы.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Статьи и письма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Рассылка, лендинг и посты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Кому интересно: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владельцам бизнеса;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бухгалтерам;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Кому интересно: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владельцам бизнеса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бухгалтерам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HR</w:t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EB">
      <w:pPr>
        <w:pStyle w:val="Heading2"/>
        <w:rPr/>
      </w:pPr>
      <w:bookmarkStart w:colFirst="0" w:colLast="0" w:name="_65huhfwhej6d" w:id="37"/>
      <w:bookmarkEnd w:id="37"/>
      <w:r w:rsidDel="00000000" w:rsidR="00000000" w:rsidRPr="00000000">
        <w:rPr>
          <w:rtl w:val="0"/>
        </w:rPr>
        <w:t xml:space="preserve">Восклицательный знак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Восклицательный знак воспринимается как крайняя степень восхищения или крик. Мы не кричим на наших читателей. Поэтому восклицательный знак ставится только в исключительных случаях. И не более 2 раз на статью. Исключение — соцсети. В постах можно использовать восклицательный знак, но не более одного на предложение и не в двух предложениях подряд.</w:t>
      </w:r>
    </w:p>
    <w:p w:rsidR="00000000" w:rsidDel="00000000" w:rsidP="00000000" w:rsidRDefault="00000000" w:rsidRPr="00000000" w14:paraId="000000EE">
      <w:pPr>
        <w:pStyle w:val="Heading2"/>
        <w:rPr/>
      </w:pPr>
      <w:bookmarkStart w:colFirst="0" w:colLast="0" w:name="_v469b9u40iii" w:id="38"/>
      <w:bookmarkEnd w:id="38"/>
      <w:r w:rsidDel="00000000" w:rsidR="00000000" w:rsidRPr="00000000">
        <w:rPr>
          <w:rtl w:val="0"/>
        </w:rPr>
        <w:t xml:space="preserve">Тире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Где по правилам русского языке требуется тире, используем длинное тире m-dash: «—».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2"/>
        <w:rPr/>
      </w:pPr>
      <w:bookmarkStart w:colFirst="0" w:colLast="0" w:name="_wf8rst51eq9a" w:id="39"/>
      <w:bookmarkEnd w:id="39"/>
      <w:r w:rsidDel="00000000" w:rsidR="00000000" w:rsidRPr="00000000">
        <w:rPr>
          <w:rtl w:val="0"/>
        </w:rPr>
        <w:t xml:space="preserve">Кавычки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Используем кавычки-елочки: «».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v8wjfph1btn1" w:id="40"/>
      <w:bookmarkEnd w:id="40"/>
      <w:r w:rsidDel="00000000" w:rsidR="00000000" w:rsidRPr="00000000">
        <w:rPr>
          <w:rtl w:val="0"/>
        </w:rPr>
        <w:t xml:space="preserve">Обязательно к прочтению новыми авторами: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Уильям Зинсер «Как писать хорошо. Классическое руководство по созданию нехудожественных текстов»</w:t>
      </w:r>
    </w:p>
    <w:p w:rsidR="00000000" w:rsidDel="00000000" w:rsidP="00000000" w:rsidRDefault="00000000" w:rsidRPr="00000000" w14:paraId="000000F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Нора Галь «Слово живое и мертвое»</w:t>
      </w:r>
    </w:p>
    <w:p w:rsidR="00000000" w:rsidDel="00000000" w:rsidP="00000000" w:rsidRDefault="00000000" w:rsidRPr="00000000" w14:paraId="000000F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Максим Ильяхов «Пиши, сокращай»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